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5" w:rsidRPr="00043D1C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DB4675" w:rsidRPr="00043D1C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 xml:space="preserve">Заведующий                                                                                                                                   </w:t>
      </w:r>
    </w:p>
    <w:p w:rsidR="00DB4675" w:rsidRPr="00043D1C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 xml:space="preserve">МБДОУ детского сада  № 39 </w:t>
      </w:r>
    </w:p>
    <w:p w:rsidR="00DB4675" w:rsidRPr="00043D1C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>г. Пензы «Гнездышко»</w:t>
      </w:r>
    </w:p>
    <w:p w:rsidR="00DB4675" w:rsidRPr="00043D1C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>___________С. В. Мелиханова</w:t>
      </w:r>
    </w:p>
    <w:p w:rsidR="00DB4675" w:rsidRPr="00043D1C" w:rsidRDefault="00DB4675" w:rsidP="00043D1C">
      <w:pPr>
        <w:jc w:val="right"/>
        <w:rPr>
          <w:rFonts w:ascii="Times New Roman" w:hAnsi="Times New Roman" w:cs="Times New Roman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sz w:val="20"/>
          <w:szCs w:val="20"/>
        </w:rPr>
        <w:t xml:space="preserve">«10» </w:t>
      </w:r>
      <w:r w:rsidR="00043D1C" w:rsidRPr="00043D1C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043D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3D1C" w:rsidRPr="00043D1C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043D1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E36BCB" w:rsidRPr="00043D1C" w:rsidRDefault="00E36BCB" w:rsidP="00043D1C">
      <w:pPr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</w:pPr>
      <w:r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 xml:space="preserve">Реестр (карта) коррупционных рисков </w:t>
      </w:r>
      <w:r w:rsidR="00DB4675"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МБДОУ детского сада № 39 г</w:t>
      </w:r>
      <w:proofErr w:type="gramStart"/>
      <w:r w:rsidR="00DB4675"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.П</w:t>
      </w:r>
      <w:proofErr w:type="gramEnd"/>
      <w:r w:rsidR="00DB4675"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ензы «Гнездышко»</w:t>
      </w:r>
      <w:r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br/>
        <w:t xml:space="preserve">по состоянию на </w:t>
      </w:r>
      <w:r w:rsidR="00043D1C"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>01.01.2022</w:t>
      </w:r>
      <w:r w:rsidR="00DB4675" w:rsidRPr="00043D1C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 xml:space="preserve"> г.</w:t>
      </w: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2410"/>
        <w:gridCol w:w="2836"/>
        <w:gridCol w:w="2551"/>
        <w:gridCol w:w="2409"/>
        <w:gridCol w:w="2552"/>
      </w:tblGrid>
      <w:tr w:rsidR="00E36BCB" w:rsidRPr="00043D1C" w:rsidTr="00043D1C">
        <w:trPr>
          <w:trHeight w:val="1150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043D1C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Критическая точка, процедура (действие)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 описание возможной коррупционной схемы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6BCB" w:rsidRPr="00043D1C" w:rsidRDefault="00E36BCB" w:rsidP="0036338F">
            <w:pPr>
              <w:pStyle w:val="1"/>
              <w:shd w:val="clear" w:color="auto" w:fill="auto"/>
              <w:spacing w:after="0" w:line="240" w:lineRule="auto"/>
              <w:ind w:right="127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43D1C">
              <w:rPr>
                <w:color w:val="000000"/>
                <w:sz w:val="16"/>
                <w:szCs w:val="16"/>
                <w:lang w:eastAsia="ru-RU"/>
              </w:rPr>
              <w:t>Вероятность</w:t>
            </w:r>
          </w:p>
          <w:p w:rsidR="00E36BCB" w:rsidRPr="00043D1C" w:rsidRDefault="00E36BCB" w:rsidP="0036338F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риска и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E36BCB" w:rsidRPr="00043D1C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Меры по минимизации рисков в критической точке</w:t>
            </w:r>
          </w:p>
        </w:tc>
      </w:tr>
      <w:tr w:rsidR="00471BA8" w:rsidRPr="00043D1C" w:rsidTr="00043D1C">
        <w:trPr>
          <w:trHeight w:val="1109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DB4675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ДОУ</w:t>
            </w:r>
          </w:p>
          <w:p w:rsidR="00FA1D25" w:rsidRPr="00043D1C" w:rsidRDefault="00FA1D25" w:rsidP="0036338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043D1C" w:rsidRDefault="008570CA" w:rsidP="00AC0A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</w:t>
            </w:r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>локальных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актов, содержащих коррупционные факторы, </w:t>
            </w:r>
            <w:r w:rsidR="00FA1D25" w:rsidRPr="00043D1C">
              <w:rPr>
                <w:rFonts w:ascii="Times New Roman" w:hAnsi="Times New Roman" w:cs="Times New Roman"/>
                <w:sz w:val="16"/>
                <w:szCs w:val="16"/>
              </w:rPr>
              <w:t>Предоставление не предусмотренных законом преимуществ (протекционизм, семейственность) при разработке графика работы, графика отпусков, режима труда и отдыха работников</w:t>
            </w:r>
            <w:r w:rsidR="00AC0AFB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E36BCB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8570CA" w:rsidRPr="00043D1C">
              <w:rPr>
                <w:rFonts w:ascii="Times New Roman" w:hAnsi="Times New Roman" w:cs="Times New Roman"/>
                <w:sz w:val="16"/>
                <w:szCs w:val="16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36BCB" w:rsidRPr="00043D1C" w:rsidRDefault="00E36BCB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043D1C" w:rsidRDefault="0036338F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значительный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043D1C" w:rsidRDefault="001B5EDF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</w:t>
            </w:r>
          </w:p>
          <w:p w:rsidR="00E36BCB" w:rsidRPr="00043D1C" w:rsidRDefault="00E36BCB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36BCB" w:rsidRPr="00043D1C" w:rsidRDefault="00E36BCB" w:rsidP="0036338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36338F" w:rsidRPr="00043D1C" w:rsidRDefault="0036338F" w:rsidP="00E377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Информационная открытость ДОУ,</w:t>
            </w:r>
          </w:p>
          <w:p w:rsidR="0036338F" w:rsidRPr="00043D1C" w:rsidRDefault="00E377A5" w:rsidP="00E377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4" w:hanging="266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облюдение учрежденной </w:t>
            </w:r>
            <w:proofErr w:type="spellStart"/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ДОУ,</w:t>
            </w:r>
          </w:p>
          <w:p w:rsidR="00E36BCB" w:rsidRPr="00043D1C" w:rsidRDefault="00E377A5" w:rsidP="00E4279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36338F" w:rsidRPr="00043D1C">
              <w:rPr>
                <w:rFonts w:ascii="Times New Roman" w:hAnsi="Times New Roman" w:cs="Times New Roman"/>
                <w:sz w:val="16"/>
                <w:szCs w:val="16"/>
              </w:rPr>
              <w:t>азъяснение работникам ДОУ мер ответственности за совершение коррупционных правонарушений</w:t>
            </w:r>
            <w:r w:rsidR="00E4279A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B4675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043D1C" w:rsidRDefault="00B459F6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Кадровая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043D1C" w:rsidRDefault="002F68D7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Принятие на работу сотрудников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788" w:rsidRPr="00043D1C" w:rsidRDefault="007D3788" w:rsidP="007D3788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  <w:r w:rsidR="009C791F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B4675" w:rsidRPr="00043D1C" w:rsidRDefault="00DB4675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043D1C" w:rsidRDefault="002F68D7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Средняя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043D1C" w:rsidRDefault="002F68D7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675" w:rsidRPr="00043D1C" w:rsidRDefault="007D3788" w:rsidP="007D378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Подача заявки в ЦЗН о вакансиях. Размещение информации о вакансии учредителю. Проведение собеседования при приеме на работу. Разъяснение работникам учреждения обязанности незамедлительно сообщить руководителю о склонении его к совершению коррупционного правонарушения и мер ответственности за совершение коррупционных правонарушений.</w:t>
            </w:r>
          </w:p>
        </w:tc>
      </w:tr>
      <w:tr w:rsidR="00471BA8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9F6" w:rsidRPr="00043D1C" w:rsidRDefault="00B459F6" w:rsidP="00B459F6">
            <w:pPr>
              <w:autoSpaceDE w:val="0"/>
              <w:autoSpaceDN w:val="0"/>
              <w:adjustRightInd w:val="0"/>
              <w:ind w:left="142" w:right="12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Защита сведений, составляющих охраняемую законом тайну, информации ограниченного доступа.</w:t>
            </w:r>
          </w:p>
          <w:p w:rsidR="00DB4675" w:rsidRPr="00043D1C" w:rsidRDefault="00DB4675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043D1C" w:rsidRDefault="00FA1D25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Работа со служебной информацией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043D1C" w:rsidRDefault="00FA1D25" w:rsidP="00FA1D2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043D1C" w:rsidRDefault="00504A08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Средняя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A08" w:rsidRPr="00043D1C" w:rsidRDefault="00504A08" w:rsidP="00504A0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заместитель заведующего, начальник хозяйственного отдела</w:t>
            </w:r>
            <w:r w:rsidR="00B72186"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, главный бухгалтер, воспитатель.</w:t>
            </w:r>
          </w:p>
          <w:p w:rsidR="00DB4675" w:rsidRPr="00043D1C" w:rsidRDefault="00DB4675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675" w:rsidRPr="00043D1C" w:rsidRDefault="00504A08" w:rsidP="00504A0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работников с локальными актами учреждения, регламентирующими вопросы предупреждения и противодействия коррупции, а так же разъяснение работникам учреждения мер ответственности за совершение коррупционных правонарушений. 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</w:t>
            </w:r>
          </w:p>
        </w:tc>
      </w:tr>
      <w:tr w:rsidR="00FA1D25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043D1C" w:rsidRDefault="00B459F6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Работа с социумом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D25" w:rsidRPr="00043D1C" w:rsidRDefault="00B459F6" w:rsidP="00583A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Взаимоотношения с должностными лицами в органах власти и управления, правоохранительными органами, органами опеки и попечительства</w:t>
            </w:r>
            <w:r w:rsidR="00583AFC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043D1C" w:rsidRDefault="00B459F6" w:rsidP="00583A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Дарение подарков и оказание не служебных услуг должностным лицам в органах власти и управления, правоохранительных органах, органах опеки и попечительства,</w:t>
            </w:r>
            <w:proofErr w:type="gramStart"/>
            <w:r w:rsidR="00583AFC"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за исключением символических знаков внимания, протокольных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D25" w:rsidRPr="00043D1C" w:rsidRDefault="00B459F6" w:rsidP="00B459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043D1C" w:rsidRDefault="00B459F6" w:rsidP="00583A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заместитель заведующего, начальник хозяйственного отдела, главный бухгалтер</w:t>
            </w:r>
            <w:r w:rsidR="00583AFC"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1D25" w:rsidRPr="00043D1C" w:rsidRDefault="00B459F6" w:rsidP="0036338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Работа с социумом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583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Использование благотворительной и спонсорской помощи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583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Нецелевое использование благотворительной и спонсорской помощи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B459F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583AF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заместитель заведующего, начальник хозяйственного отдела,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1831AF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к принятию решений представителей структурных подразделений. 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Принятие решений об использовании бюджетных средств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18548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заместитель заведующего,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1831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Привлечение к принятию решений представителей структурных подразделений. 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3463E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317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Регистрация и учет  материальных ценностей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8C1333" w:rsidP="00317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Несвоевременная постановка на учет материальных ценностей,  умышленно досрочное списание материальных средств и расходных материалов с регистрационного учёта, отсутствие регулярного контроля наличия и сохранности имущества.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1777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начальник хозяйст</w:t>
            </w:r>
            <w:r w:rsidR="0033463E"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венного отдела, главный бухгалтер</w:t>
            </w: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Ознакомление работников с нормативными документами учреждения, регламентирующими вопросы предупреждения и противодействия коррупции.</w:t>
            </w:r>
          </w:p>
        </w:tc>
      </w:tr>
      <w:tr w:rsidR="003E1743" w:rsidRPr="00043D1C" w:rsidTr="00043D1C">
        <w:trPr>
          <w:trHeight w:val="683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7745F9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Финансовая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C93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закупок, заключение контрактов и договоров на поставку товаров,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работ.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2D36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Отказ от мониторинга цен на товары и услуги. Предоставление заведомо ложных сведений о проведении мониторинга цен на товары и услуги.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 Прием выполнения работ (оказания услуг) не надлежащего качества. Заключение </w:t>
            </w:r>
            <w:r w:rsidR="002D3669"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договоров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с подрядной организацией, не имеющей специального разрешения на проведение определенного вида работ. Необоснованное завышение стоимости рабо</w:t>
            </w:r>
            <w:r w:rsidR="002D3669" w:rsidRPr="00043D1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, оказанных услуг, поставленных товаров. Необоснованное продление сроков поставки товаров, выполнения работ, оказания услуг по </w:t>
            </w:r>
            <w:r w:rsidR="002D3669" w:rsidRPr="00043D1C">
              <w:rPr>
                <w:rFonts w:ascii="Times New Roman" w:hAnsi="Times New Roman" w:cs="Times New Roman"/>
                <w:sz w:val="16"/>
                <w:szCs w:val="16"/>
              </w:rPr>
              <w:t>договорам.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Повторная оплата одних и тех же услуг, работ.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2D3669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работников с нормативными документами учреждения, регламентирующими вопросы предупреждения и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противодействия коррупции. 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Комиссионный прием результатов выполненных работ (поставленных товаров, оказанных услуг).</w:t>
            </w:r>
          </w:p>
        </w:tc>
      </w:tr>
      <w:tr w:rsidR="003E1743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7745F9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C93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Оплата труда и распределение стимулирующих выплат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Оплата рабочего времени не в полном объеме. Оплата рабочего времени в полном объеме в случае, когда работник фактически отсутствовал на рабочем месте. Завышение (занижение) показателей по стимулирующим выплатам.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председатель комиссии по распределению фонта стимулирования (заместитель заведующего),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Создание и работа комиссии по установлению стимулирующих выплат работникам в строгом соответствии с Положением об оплате труда и действующим законодательством.</w:t>
            </w:r>
          </w:p>
        </w:tc>
      </w:tr>
      <w:tr w:rsidR="003E1743" w:rsidRPr="00043D1C" w:rsidTr="00043D1C">
        <w:trPr>
          <w:trHeight w:val="1425"/>
        </w:trPr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7745F9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Контрольная 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3E1743" w:rsidP="00C937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Осуществление функций внутреннего контроля в учреждении.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774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проведении мероприятий по внутреннему контролю выборочно в отношении отдельных структурных подразделений и </w:t>
            </w:r>
            <w:r w:rsidR="007745F9" w:rsidRPr="00043D1C">
              <w:rPr>
                <w:rFonts w:ascii="Times New Roman" w:hAnsi="Times New Roman" w:cs="Times New Roman"/>
                <w:sz w:val="16"/>
                <w:szCs w:val="16"/>
              </w:rPr>
              <w:t>работников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. Не</w:t>
            </w:r>
            <w:r w:rsidR="007745F9"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отражение </w:t>
            </w:r>
            <w:proofErr w:type="gram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в акте о результатах мероприятий по внутреннему контролю выявленных нарушений в обмен на получен</w:t>
            </w:r>
            <w:r w:rsidR="007745F9" w:rsidRPr="00043D1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ое вознаграждение</w:t>
            </w:r>
            <w:proofErr w:type="gramEnd"/>
            <w:r w:rsidR="007745F9" w:rsidRPr="00043D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043D1C" w:rsidRDefault="00EE3876" w:rsidP="00EE387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Средняя  вероятность и не значительный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043D1C" w:rsidRDefault="003E1743" w:rsidP="003633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Заведующий, заместитель заведующего.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043D1C" w:rsidRDefault="003E1743" w:rsidP="00363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Соблюдение, утвержденной </w:t>
            </w:r>
            <w:proofErr w:type="spellStart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антикоррупционной</w:t>
            </w:r>
            <w:proofErr w:type="spellEnd"/>
            <w:r w:rsidRPr="00043D1C">
              <w:rPr>
                <w:rFonts w:ascii="Times New Roman" w:hAnsi="Times New Roman" w:cs="Times New Roman"/>
                <w:sz w:val="16"/>
                <w:szCs w:val="16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Ознакомление работников с нормативными документами учреждения, регламентирующими вопросы предупреждения и</w:t>
            </w:r>
            <w:r w:rsidR="00043D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3D1C">
              <w:rPr>
                <w:rFonts w:ascii="Times New Roman" w:hAnsi="Times New Roman" w:cs="Times New Roman"/>
                <w:sz w:val="16"/>
                <w:szCs w:val="16"/>
              </w:rPr>
              <w:t>противодействия коррупции.</w:t>
            </w:r>
          </w:p>
        </w:tc>
      </w:tr>
    </w:tbl>
    <w:p w:rsidR="00E36BCB" w:rsidRPr="00043D1C" w:rsidRDefault="00E36BCB" w:rsidP="00E36BCB">
      <w:pPr>
        <w:jc w:val="both"/>
        <w:rPr>
          <w:rFonts w:ascii="Times New Roman" w:eastAsia="Times New Roman" w:hAnsi="Times New Roman" w:cs="Times New Roman"/>
          <w:color w:val="22272F"/>
          <w:sz w:val="16"/>
          <w:szCs w:val="16"/>
        </w:rPr>
      </w:pPr>
    </w:p>
    <w:sectPr w:rsidR="00E36BCB" w:rsidRPr="00043D1C" w:rsidSect="00043D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BCB"/>
    <w:rsid w:val="00043D1C"/>
    <w:rsid w:val="000C24BE"/>
    <w:rsid w:val="0018548D"/>
    <w:rsid w:val="001B5EDF"/>
    <w:rsid w:val="001D6A1A"/>
    <w:rsid w:val="00270089"/>
    <w:rsid w:val="002C3432"/>
    <w:rsid w:val="002D3669"/>
    <w:rsid w:val="002F68D7"/>
    <w:rsid w:val="00317775"/>
    <w:rsid w:val="0033463E"/>
    <w:rsid w:val="0036338F"/>
    <w:rsid w:val="003751C3"/>
    <w:rsid w:val="003E1743"/>
    <w:rsid w:val="00471BA8"/>
    <w:rsid w:val="00504A08"/>
    <w:rsid w:val="00515575"/>
    <w:rsid w:val="00530CB1"/>
    <w:rsid w:val="00583AFC"/>
    <w:rsid w:val="005D4650"/>
    <w:rsid w:val="00651E1A"/>
    <w:rsid w:val="00751939"/>
    <w:rsid w:val="007745F9"/>
    <w:rsid w:val="007D3788"/>
    <w:rsid w:val="008570CA"/>
    <w:rsid w:val="008B66A5"/>
    <w:rsid w:val="008C1333"/>
    <w:rsid w:val="0091478A"/>
    <w:rsid w:val="009C791F"/>
    <w:rsid w:val="00AC0AFB"/>
    <w:rsid w:val="00AE658B"/>
    <w:rsid w:val="00B459F6"/>
    <w:rsid w:val="00B72186"/>
    <w:rsid w:val="00C20580"/>
    <w:rsid w:val="00C500CC"/>
    <w:rsid w:val="00C93749"/>
    <w:rsid w:val="00DB4675"/>
    <w:rsid w:val="00E36BCB"/>
    <w:rsid w:val="00E377A5"/>
    <w:rsid w:val="00E4279A"/>
    <w:rsid w:val="00EE3876"/>
    <w:rsid w:val="00F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36B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36BCB"/>
    <w:pPr>
      <w:shd w:val="clear" w:color="auto" w:fill="FFFFFF"/>
      <w:spacing w:after="51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36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2022-03-30T10:22:00Z</cp:lastPrinted>
  <dcterms:created xsi:type="dcterms:W3CDTF">2022-03-30T10:19:00Z</dcterms:created>
  <dcterms:modified xsi:type="dcterms:W3CDTF">2022-03-30T10:22:00Z</dcterms:modified>
</cp:coreProperties>
</file>